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A3" w:rsidRPr="00E022FB" w:rsidRDefault="001606A3" w:rsidP="00160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69"/>
      <w:bookmarkEnd w:id="0"/>
      <w:r w:rsidRPr="00E022FB">
        <w:rPr>
          <w:rFonts w:ascii="Times New Roman" w:hAnsi="Times New Roman"/>
          <w:color w:val="000000"/>
        </w:rPr>
        <w:t> </w:t>
      </w:r>
    </w:p>
    <w:p w:rsidR="001606A3" w:rsidRPr="00E022FB" w:rsidRDefault="001606A3" w:rsidP="001606A3">
      <w:pPr>
        <w:widowControl w:val="0"/>
        <w:tabs>
          <w:tab w:val="left" w:pos="11340"/>
        </w:tabs>
        <w:autoSpaceDE w:val="0"/>
        <w:autoSpaceDN w:val="0"/>
        <w:adjustRightInd w:val="0"/>
        <w:spacing w:before="200" w:after="0" w:line="240" w:lineRule="auto"/>
        <w:ind w:right="1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22FB">
        <w:rPr>
          <w:rFonts w:ascii="Times New Roman" w:hAnsi="Times New Roman"/>
          <w:b/>
          <w:bCs/>
          <w:color w:val="000000"/>
          <w:sz w:val="28"/>
          <w:szCs w:val="28"/>
        </w:rPr>
        <w:t>ЕДИНЫЙ ПЕРЕЧЕНЬ</w:t>
      </w:r>
    </w:p>
    <w:p w:rsidR="001606A3" w:rsidRPr="00E022FB" w:rsidRDefault="001606A3" w:rsidP="001606A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22FB">
        <w:rPr>
          <w:rFonts w:ascii="Times New Roman" w:hAnsi="Times New Roman"/>
          <w:b/>
          <w:bCs/>
          <w:color w:val="000000"/>
          <w:sz w:val="28"/>
          <w:szCs w:val="28"/>
        </w:rPr>
        <w:t>АДМИНИСТРАТИВНЫХ ПРОЦЕДУР, ОСУЩЕСТВЛЯЕМЫХ В ОТНОШЕНИИ СУБЪЕКТОВ ХОЗЯЙСТВОВАНИЯ</w:t>
      </w:r>
    </w:p>
    <w:p w:rsidR="001606A3" w:rsidRPr="00E022FB" w:rsidRDefault="001606A3" w:rsidP="001606A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22FB">
        <w:rPr>
          <w:rFonts w:ascii="Times New Roman" w:hAnsi="Times New Roman"/>
          <w:bCs/>
          <w:color w:val="000000"/>
          <w:sz w:val="28"/>
          <w:szCs w:val="28"/>
        </w:rPr>
        <w:t>(в редакции от 03.03.2025)</w:t>
      </w:r>
    </w:p>
    <w:tbl>
      <w:tblPr>
        <w:tblpPr w:leftFromText="180" w:rightFromText="180" w:vertAnchor="text" w:horzAnchor="margin" w:tblpY="43"/>
        <w:tblW w:w="9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3"/>
        <w:gridCol w:w="850"/>
        <w:gridCol w:w="1114"/>
        <w:gridCol w:w="1276"/>
        <w:gridCol w:w="2106"/>
        <w:gridCol w:w="8"/>
      </w:tblGrid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424"/>
              <w:jc w:val="center"/>
              <w:rPr>
                <w:rFonts w:ascii="Times New Roman" w:hAnsi="Times New Roman"/>
                <w:color w:val="000000"/>
              </w:rPr>
            </w:pPr>
            <w:r w:rsidRPr="00E022FB">
              <w:rPr>
                <w:rFonts w:ascii="Times New Roman" w:hAnsi="Times New Roman"/>
                <w:color w:val="000000"/>
              </w:rPr>
              <w:t>Наименование административной процедуры &lt;1&gt;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122"/>
              <w:jc w:val="center"/>
              <w:rPr>
                <w:rFonts w:ascii="Times New Roman" w:hAnsi="Times New Roman"/>
                <w:color w:val="000000"/>
              </w:rPr>
            </w:pPr>
            <w:r w:rsidRPr="00E022FB">
              <w:rPr>
                <w:rFonts w:ascii="Times New Roman" w:hAnsi="Times New Roman"/>
                <w:color w:val="000000"/>
              </w:rPr>
              <w:t>Орган-регулятор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424"/>
              <w:jc w:val="center"/>
              <w:rPr>
                <w:rFonts w:ascii="Times New Roman" w:hAnsi="Times New Roman"/>
                <w:color w:val="000000"/>
              </w:rPr>
            </w:pPr>
            <w:r w:rsidRPr="00E022FB">
              <w:rPr>
                <w:rFonts w:ascii="Times New Roman" w:hAnsi="Times New Roman"/>
                <w:color w:val="000000"/>
              </w:rPr>
              <w:t>Уполномоченный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121"/>
              <w:jc w:val="center"/>
              <w:rPr>
                <w:rFonts w:ascii="Times New Roman" w:hAnsi="Times New Roman"/>
                <w:color w:val="000000"/>
              </w:rPr>
            </w:pPr>
            <w:r w:rsidRPr="00E022FB">
              <w:rPr>
                <w:rFonts w:ascii="Times New Roman" w:hAnsi="Times New Roman"/>
                <w:color w:val="000000"/>
              </w:rPr>
              <w:t>Срок осуществления административной процедуры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102"/>
              <w:jc w:val="center"/>
              <w:rPr>
                <w:rFonts w:ascii="Times New Roman" w:hAnsi="Times New Roman"/>
                <w:color w:val="000000"/>
              </w:rPr>
            </w:pPr>
            <w:r w:rsidRPr="00E022FB">
              <w:rPr>
                <w:rFonts w:ascii="Times New Roman" w:hAnsi="Times New Roman"/>
                <w:color w:val="000000"/>
              </w:rPr>
              <w:t>Вид платы, взимаемой при осуществлении административной процедуры</w:t>
            </w:r>
          </w:p>
        </w:tc>
      </w:tr>
      <w:tr w:rsidR="001606A3" w:rsidRPr="00E022FB" w:rsidTr="001606A3">
        <w:tc>
          <w:tcPr>
            <w:tcW w:w="96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1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ГЛАВА 17</w:t>
            </w:r>
          </w:p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ОБОРОТ ОРУЖИЯ, ДЕЯТЕЛЬНОСТЬ ШТЕМПЕЛЬНО-ГРАВЕРНЫХ МАСТЕРСКИХ, ОХРАННАЯ ДЕЯТЕЛЬНОСТЬ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before="200" w:after="0" w:line="240" w:lineRule="auto"/>
              <w:ind w:right="12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b/>
                <w:bCs/>
                <w:sz w:val="28"/>
                <w:szCs w:val="28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1606A3" w:rsidRPr="00E022FB" w:rsidTr="001606A3">
        <w:trPr>
          <w:gridAfter w:val="1"/>
          <w:wAfter w:w="8" w:type="dxa"/>
          <w:trHeight w:val="2302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17.1.1. Получение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25 рабочих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17.1.2. Изменение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25 рабочих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b/>
                <w:bCs/>
                <w:sz w:val="28"/>
                <w:szCs w:val="28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 xml:space="preserve">17.4.1. Получение разрешения на открытие и функционирование стрелкового тира, стрельбища, </w:t>
            </w: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 xml:space="preserve">ГУВД Минского </w:t>
            </w: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 месяц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бесплатно</w:t>
            </w:r>
          </w:p>
        </w:tc>
        <w:bookmarkStart w:id="1" w:name="_GoBack"/>
        <w:bookmarkEnd w:id="1"/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17.4.2. Продление 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 xml:space="preserve">ГУВД Минского горисполкома, УВД облисполкома, управление, отдел внутренних дел городского, </w:t>
            </w: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15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17.4.3. Получение разрешения на открытие и функционирование штемпельно-граверной мастерской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  <w:r w:rsidRPr="00E022FB">
              <w:rPr>
                <w:rFonts w:ascii="Times New Roman" w:hAnsi="Times New Roman"/>
                <w:sz w:val="28"/>
                <w:szCs w:val="28"/>
              </w:rPr>
              <w:t xml:space="preserve"> 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ГУВД Минского горисполкома, УВД облисполкома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  <w:r w:rsidRPr="00E022FB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  <w:r w:rsidRPr="00E022FB">
              <w:rPr>
                <w:rFonts w:ascii="Times New Roman" w:hAnsi="Times New Roman"/>
                <w:sz w:val="28"/>
                <w:szCs w:val="28"/>
              </w:rPr>
              <w:t xml:space="preserve"> 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ГУВД Минского горисполкома, УВД облисполкома, управление, отдел внутренних дел городского, районного исполкома (местно</w:t>
            </w: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15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</w:t>
            </w: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15 рабочих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государственная пошлина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lastRenderedPageBreak/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15 рабочих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widowControl w:val="0"/>
              <w:tabs>
                <w:tab w:val="left" w:pos="11340"/>
              </w:tabs>
              <w:autoSpaceDE w:val="0"/>
              <w:autoSpaceDN w:val="0"/>
              <w:adjustRightInd w:val="0"/>
              <w:spacing w:after="0" w:line="240" w:lineRule="auto"/>
              <w:ind w:right="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22FB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17.6.4. Получение разрешения на хранение и использование боевого оружия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управление, отдел внутренних дел городского, районного исполкома (местной администрации), </w:t>
            </w: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 xml:space="preserve">ГУВД Минского горисполкома, УВД облисполкома, управление, отдел внутренних дел городского, районного </w:t>
            </w: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исполкома (местной администрации)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rPr>
          <w:gridAfter w:val="1"/>
          <w:wAfter w:w="8" w:type="dxa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 xml:space="preserve">МВД, ГУВД Минского горисполкома, УВД облисполкома, </w:t>
            </w: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рабочих дней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</w:tr>
      <w:tr w:rsidR="001606A3" w:rsidRPr="00E022FB" w:rsidTr="00160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4273" w:type="dxa"/>
            <w:vAlign w:val="center"/>
            <w:hideMark/>
          </w:tcPr>
          <w:p w:rsidR="001606A3" w:rsidRPr="00E022FB" w:rsidRDefault="001606A3" w:rsidP="00CB4BB8">
            <w:pPr>
              <w:tabs>
                <w:tab w:val="left" w:pos="11340"/>
              </w:tabs>
              <w:spacing w:beforeAutospacing="1" w:after="0" w:afterAutospacing="1" w:line="240" w:lineRule="auto"/>
              <w:ind w:right="122"/>
              <w:rPr>
                <w:rFonts w:ascii="Times New Roman" w:hAnsi="Times New Roman"/>
                <w:sz w:val="28"/>
                <w:szCs w:val="28"/>
              </w:rPr>
            </w:pPr>
            <w:bookmarkStart w:id="2" w:name="74"/>
            <w:bookmarkStart w:id="3" w:name="75"/>
            <w:bookmarkStart w:id="4" w:name="76"/>
            <w:bookmarkEnd w:id="2"/>
            <w:bookmarkEnd w:id="3"/>
            <w:bookmarkEnd w:id="4"/>
            <w:r w:rsidRPr="00E022F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25.14. Согласование трансграничного перемещения оружия и боеприпасов</w:t>
            </w:r>
          </w:p>
        </w:tc>
        <w:tc>
          <w:tcPr>
            <w:tcW w:w="850" w:type="dxa"/>
            <w:vAlign w:val="center"/>
            <w:hideMark/>
          </w:tcPr>
          <w:p w:rsidR="001606A3" w:rsidRPr="00E022FB" w:rsidRDefault="001606A3" w:rsidP="00CB4BB8">
            <w:pPr>
              <w:tabs>
                <w:tab w:val="left" w:pos="11340"/>
              </w:tabs>
              <w:spacing w:before="100" w:beforeAutospacing="1" w:after="100" w:afterAutospacing="1" w:line="240" w:lineRule="auto"/>
              <w:ind w:right="1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  <w:hideMark/>
          </w:tcPr>
          <w:p w:rsidR="001606A3" w:rsidRPr="00E022FB" w:rsidRDefault="001606A3" w:rsidP="00CB4BB8">
            <w:pPr>
              <w:tabs>
                <w:tab w:val="left" w:pos="11340"/>
              </w:tabs>
              <w:spacing w:before="100" w:beforeAutospacing="1" w:after="100" w:afterAutospacing="1" w:line="240" w:lineRule="auto"/>
              <w:ind w:right="1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1606A3" w:rsidRPr="00E022FB" w:rsidRDefault="001606A3" w:rsidP="00CB4BB8">
            <w:pPr>
              <w:tabs>
                <w:tab w:val="left" w:pos="11340"/>
              </w:tabs>
              <w:spacing w:before="100" w:beforeAutospacing="1" w:after="100" w:afterAutospacing="1" w:line="240" w:lineRule="auto"/>
              <w:ind w:right="1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  <w:hideMark/>
          </w:tcPr>
          <w:p w:rsidR="001606A3" w:rsidRPr="00E022FB" w:rsidRDefault="001606A3" w:rsidP="00CB4BB8">
            <w:pPr>
              <w:tabs>
                <w:tab w:val="left" w:pos="11340"/>
              </w:tabs>
              <w:spacing w:before="100" w:beforeAutospacing="1" w:after="100" w:afterAutospacing="1" w:line="240" w:lineRule="auto"/>
              <w:ind w:right="42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6A3" w:rsidRPr="00E022FB" w:rsidTr="00160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4273" w:type="dxa"/>
            <w:hideMark/>
          </w:tcPr>
          <w:p w:rsidR="001606A3" w:rsidRPr="00E022FB" w:rsidRDefault="001606A3" w:rsidP="00CB4BB8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25.14.1. Получение 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0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14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МВД, ГУВД Минского горисполкома, УВД</w:t>
            </w:r>
          </w:p>
        </w:tc>
        <w:tc>
          <w:tcPr>
            <w:tcW w:w="1276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20 дней</w:t>
            </w:r>
          </w:p>
        </w:tc>
        <w:tc>
          <w:tcPr>
            <w:tcW w:w="2106" w:type="dxa"/>
            <w:hideMark/>
          </w:tcPr>
          <w:p w:rsidR="001606A3" w:rsidRPr="00E022FB" w:rsidRDefault="001606A3" w:rsidP="00CB4BB8">
            <w:pPr>
              <w:pStyle w:val="ConsPlusNormal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606A3" w:rsidRPr="00E022FB" w:rsidTr="00160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4273" w:type="dxa"/>
            <w:hideMark/>
          </w:tcPr>
          <w:p w:rsidR="001606A3" w:rsidRPr="00E022FB" w:rsidRDefault="001606A3" w:rsidP="00CB4BB8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 xml:space="preserve">25.14.2. Получение заключения (разрешительного документа) на временный ввоз и временный вывоз охотничьего оружия и </w:t>
            </w: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850" w:type="dxa"/>
            <w:hideMark/>
          </w:tcPr>
          <w:p w:rsidR="001606A3" w:rsidRPr="00E022FB" w:rsidRDefault="001606A3" w:rsidP="00CB4BB8">
            <w:pPr>
              <w:pStyle w:val="ConsPlusNormal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МВД</w:t>
            </w:r>
          </w:p>
        </w:tc>
        <w:tc>
          <w:tcPr>
            <w:tcW w:w="1114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 xml:space="preserve">МВД, ГУВД Минского </w:t>
            </w: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горисполкома, УВД</w:t>
            </w:r>
          </w:p>
        </w:tc>
        <w:tc>
          <w:tcPr>
            <w:tcW w:w="1276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рабочих дней</w:t>
            </w:r>
          </w:p>
        </w:tc>
        <w:tc>
          <w:tcPr>
            <w:tcW w:w="2106" w:type="dxa"/>
            <w:hideMark/>
          </w:tcPr>
          <w:p w:rsidR="001606A3" w:rsidRPr="00E022FB" w:rsidRDefault="001606A3" w:rsidP="00CB4B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2F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</w:tr>
    </w:tbl>
    <w:p w:rsidR="001606A3" w:rsidRDefault="001606A3" w:rsidP="001606A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right="4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:rsidR="001606A3" w:rsidRDefault="001606A3" w:rsidP="001606A3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1606A3" w:rsidRDefault="001606A3" w:rsidP="001606A3">
      <w:pPr>
        <w:spacing w:after="0" w:line="168" w:lineRule="auto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</w:p>
    <w:p w:rsidR="00CD183E" w:rsidRDefault="00CD183E"/>
    <w:sectPr w:rsidR="00CD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A3"/>
    <w:rsid w:val="001606A3"/>
    <w:rsid w:val="00C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8DCF"/>
  <w15:chartTrackingRefBased/>
  <w15:docId w15:val="{BA6FE4AD-1820-40E5-90AC-D2EA355E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Пономарем Василий Витальевич</dc:creator>
  <cp:keywords/>
  <dc:description/>
  <cp:lastModifiedBy>Пономарем Василий Витальевич</cp:lastModifiedBy>
  <cp:revision>1</cp:revision>
  <dcterms:created xsi:type="dcterms:W3CDTF">2026-02-11T11:56:00Z</dcterms:created>
  <dcterms:modified xsi:type="dcterms:W3CDTF">2026-02-11T11:56:00Z</dcterms:modified>
</cp:coreProperties>
</file>